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C101E" w14:textId="77777777" w:rsidR="00E8796F" w:rsidRPr="004F0197" w:rsidRDefault="00E8796F" w:rsidP="00E8796F">
      <w:pPr>
        <w:spacing w:line="240" w:lineRule="auto"/>
        <w:ind w:left="-737" w:right="-680"/>
        <w:contextualSpacing/>
        <w:jc w:val="right"/>
        <w:rPr>
          <w:rFonts w:cs="Arial"/>
          <w:b/>
          <w:bCs/>
          <w:sz w:val="20"/>
          <w:szCs w:val="20"/>
          <w:lang w:val="ru-RU"/>
        </w:rPr>
      </w:pPr>
      <w:r w:rsidRPr="004F0197">
        <w:rPr>
          <w:rFonts w:cs="Arial"/>
          <w:b/>
          <w:bCs/>
          <w:sz w:val="20"/>
          <w:szCs w:val="20"/>
          <w:lang w:val="ru-RU"/>
        </w:rPr>
        <w:t>Приложение №3</w:t>
      </w:r>
    </w:p>
    <w:p w14:paraId="5E233566" w14:textId="77777777" w:rsidR="00E8796F" w:rsidRPr="004F0197" w:rsidRDefault="00E8796F" w:rsidP="00E8796F">
      <w:pPr>
        <w:spacing w:line="240" w:lineRule="auto"/>
        <w:ind w:left="-737" w:right="-680"/>
        <w:contextualSpacing/>
        <w:jc w:val="right"/>
        <w:rPr>
          <w:rFonts w:cs="Arial"/>
          <w:b/>
          <w:bCs/>
          <w:sz w:val="20"/>
          <w:szCs w:val="20"/>
          <w:lang w:val="ru-RU"/>
        </w:rPr>
      </w:pPr>
      <w:r w:rsidRPr="004F0197">
        <w:rPr>
          <w:rFonts w:cs="Arial"/>
          <w:b/>
          <w:bCs/>
          <w:sz w:val="20"/>
          <w:szCs w:val="20"/>
          <w:lang w:val="ru-RU"/>
        </w:rPr>
        <w:t>к Лицензионному договору присоединения на использование программы для ЭВМ</w:t>
      </w:r>
    </w:p>
    <w:p w14:paraId="07C4767B" w14:textId="77777777" w:rsidR="00E8796F" w:rsidRPr="004F0197" w:rsidRDefault="00E8796F" w:rsidP="00E8796F">
      <w:pPr>
        <w:spacing w:line="240" w:lineRule="auto"/>
        <w:ind w:left="-737" w:right="-680"/>
        <w:contextualSpacing/>
        <w:jc w:val="right"/>
        <w:rPr>
          <w:rFonts w:cs="Arial"/>
          <w:b/>
          <w:bCs/>
          <w:sz w:val="20"/>
          <w:szCs w:val="20"/>
          <w:lang w:val="ru-RU"/>
        </w:rPr>
      </w:pPr>
      <w:r w:rsidRPr="004F0197">
        <w:rPr>
          <w:rFonts w:cs="Arial"/>
          <w:b/>
          <w:bCs/>
          <w:sz w:val="20"/>
          <w:szCs w:val="20"/>
          <w:lang w:val="ru-RU"/>
        </w:rPr>
        <w:t xml:space="preserve"> (далее по тексту - «Договор»)</w:t>
      </w:r>
    </w:p>
    <w:p w14:paraId="1701F9CB" w14:textId="77777777" w:rsidR="00E8796F" w:rsidRPr="004F0197" w:rsidRDefault="00E8796F" w:rsidP="00E8796F">
      <w:pPr>
        <w:spacing w:line="240" w:lineRule="auto"/>
        <w:ind w:left="-737" w:right="-680"/>
        <w:contextualSpacing/>
        <w:rPr>
          <w:rFonts w:cs="Arial"/>
          <w:sz w:val="20"/>
          <w:szCs w:val="20"/>
          <w:lang w:val="ru-RU"/>
        </w:rPr>
      </w:pPr>
    </w:p>
    <w:p w14:paraId="41D8A18F" w14:textId="77777777" w:rsidR="00E8796F" w:rsidRPr="004F0197" w:rsidRDefault="00E8796F" w:rsidP="00E8796F">
      <w:pPr>
        <w:spacing w:line="240" w:lineRule="auto"/>
        <w:ind w:left="-737" w:right="-680"/>
        <w:contextualSpacing/>
        <w:rPr>
          <w:rFonts w:cs="Arial"/>
          <w:sz w:val="20"/>
          <w:szCs w:val="20"/>
          <w:lang w:val="ru-RU"/>
        </w:rPr>
      </w:pPr>
    </w:p>
    <w:p w14:paraId="2EBAC95C" w14:textId="77777777" w:rsidR="00E8796F" w:rsidRPr="004F0197" w:rsidRDefault="00E8796F" w:rsidP="00E8796F">
      <w:pPr>
        <w:spacing w:line="240" w:lineRule="auto"/>
        <w:ind w:left="-737" w:right="-680"/>
        <w:contextualSpacing/>
        <w:jc w:val="center"/>
        <w:rPr>
          <w:rFonts w:cs="Arial"/>
          <w:b/>
          <w:bCs/>
          <w:sz w:val="20"/>
          <w:szCs w:val="20"/>
          <w:lang w:val="ru-RU"/>
        </w:rPr>
      </w:pPr>
      <w:r w:rsidRPr="004F0197">
        <w:rPr>
          <w:rFonts w:cs="Arial"/>
          <w:b/>
          <w:bCs/>
          <w:sz w:val="20"/>
          <w:szCs w:val="20"/>
          <w:lang w:val="ru-RU"/>
        </w:rPr>
        <w:t>Публичное соглашение-оферта о предоставлении физическим лицам возможности оплаты лицензий, посредством регулярных автоматических переводов денежных средств</w:t>
      </w:r>
    </w:p>
    <w:p w14:paraId="4ECBA32A" w14:textId="77777777" w:rsidR="00E8796F" w:rsidRPr="004F0197" w:rsidRDefault="00E8796F" w:rsidP="00E8796F">
      <w:pPr>
        <w:spacing w:line="240" w:lineRule="auto"/>
        <w:ind w:left="-737" w:right="-680"/>
        <w:contextualSpacing/>
        <w:jc w:val="center"/>
        <w:rPr>
          <w:rFonts w:cs="Arial"/>
          <w:b/>
          <w:bCs/>
          <w:sz w:val="20"/>
          <w:szCs w:val="20"/>
          <w:lang w:val="ru-RU"/>
        </w:rPr>
      </w:pPr>
    </w:p>
    <w:p w14:paraId="753F6CCE" w14:textId="77777777" w:rsidR="00E8796F" w:rsidRPr="004F0197" w:rsidRDefault="00E8796F" w:rsidP="00E8796F">
      <w:pPr>
        <w:spacing w:line="240" w:lineRule="auto"/>
        <w:ind w:left="-737" w:right="-680"/>
        <w:contextualSpacing/>
        <w:rPr>
          <w:rFonts w:cs="Arial"/>
          <w:sz w:val="20"/>
          <w:szCs w:val="20"/>
          <w:lang w:val="ru-RU"/>
        </w:rPr>
      </w:pPr>
      <w:r w:rsidRPr="004F0197">
        <w:rPr>
          <w:rFonts w:cs="Arial"/>
          <w:sz w:val="20"/>
          <w:szCs w:val="20"/>
          <w:lang w:val="ru-RU"/>
        </w:rPr>
        <w:t>Общество с ограниченной ответственностью «ТЕКО», в лице Генерального директора Безрукова Ильи Олеговича, действующего на основании Устава, именуемое в дальнейшем ТЕКО, предлагает лицензиатам воспользоваться Сервисом «</w:t>
      </w:r>
      <w:proofErr w:type="spellStart"/>
      <w:r w:rsidRPr="004F0197">
        <w:rPr>
          <w:rFonts w:cs="Arial"/>
          <w:sz w:val="20"/>
          <w:szCs w:val="20"/>
          <w:lang w:val="ru-RU"/>
        </w:rPr>
        <w:t>Автоплатеж</w:t>
      </w:r>
      <w:proofErr w:type="spellEnd"/>
      <w:r w:rsidRPr="004F0197">
        <w:rPr>
          <w:rFonts w:cs="Arial"/>
          <w:sz w:val="20"/>
          <w:szCs w:val="20"/>
          <w:lang w:val="ru-RU"/>
        </w:rPr>
        <w:t xml:space="preserve">» и заключить настоящее Публичное соглашение-оферту о предоставлении физическим лицам возможности оплаты лицензий, посредством регулярных автоматических переводов денежных средств (далее по тексту – «Соглашение»), являющееся неотъемлемым дополнением к Лицензионному договору присоединения на использование программы для ЭВМ (размещенному по адресу </w:t>
      </w:r>
      <w:r w:rsidRPr="004F0197">
        <w:rPr>
          <w:rFonts w:eastAsia="Times New Roman" w:cs="Arial"/>
          <w:sz w:val="20"/>
          <w:szCs w:val="20"/>
          <w:lang w:val="ru-RU" w:eastAsia="ru-RU"/>
        </w:rPr>
        <w:t xml:space="preserve">в сети Интернет </w:t>
      </w:r>
      <w:hyperlink r:id="rId5" w:history="1">
        <w:r w:rsidRPr="004F0197">
          <w:rPr>
            <w:rFonts w:eastAsia="Times New Roman" w:cs="Arial"/>
            <w:sz w:val="20"/>
            <w:szCs w:val="20"/>
            <w:u w:val="single"/>
            <w:lang w:val="ru-RU" w:eastAsia="ru-RU"/>
          </w:rPr>
          <w:t>https://teko.io/ru/legal?doc=joint-license-agreement</w:t>
        </w:r>
      </w:hyperlink>
      <w:r w:rsidRPr="004F0197">
        <w:rPr>
          <w:rFonts w:cs="Arial"/>
          <w:sz w:val="20"/>
          <w:szCs w:val="20"/>
          <w:lang w:val="ru-RU"/>
        </w:rPr>
        <w:t>), на следующих нижеуказанных условиях:</w:t>
      </w:r>
    </w:p>
    <w:p w14:paraId="1D3DFFEB" w14:textId="77777777" w:rsidR="00E8796F" w:rsidRPr="004F0197" w:rsidRDefault="00E8796F" w:rsidP="00E8796F">
      <w:pPr>
        <w:spacing w:line="240" w:lineRule="auto"/>
        <w:ind w:left="-737" w:right="-680"/>
        <w:contextualSpacing/>
        <w:rPr>
          <w:rFonts w:cs="Arial"/>
          <w:sz w:val="20"/>
          <w:szCs w:val="20"/>
          <w:lang w:val="ru-RU"/>
        </w:rPr>
      </w:pPr>
    </w:p>
    <w:p w14:paraId="6E8F8F31" w14:textId="77777777" w:rsidR="00E8796F" w:rsidRPr="004F0197" w:rsidRDefault="00E8796F" w:rsidP="00E8796F">
      <w:pPr>
        <w:spacing w:line="240" w:lineRule="auto"/>
        <w:ind w:left="-737" w:right="-680"/>
        <w:contextualSpacing/>
        <w:rPr>
          <w:rFonts w:cs="Arial"/>
          <w:sz w:val="20"/>
          <w:szCs w:val="20"/>
          <w:lang w:val="ru-RU"/>
        </w:rPr>
      </w:pPr>
      <w:r w:rsidRPr="004F0197">
        <w:rPr>
          <w:rFonts w:cs="Arial"/>
          <w:sz w:val="20"/>
          <w:szCs w:val="20"/>
          <w:lang w:val="ru-RU"/>
        </w:rPr>
        <w:t>Настоящее Соглашение в соответствии со ст. 435 Гражданского кодекса Российской Федерации является публичной офертой, адресованной Лицензиатам.</w:t>
      </w:r>
    </w:p>
    <w:p w14:paraId="14754D2E" w14:textId="77777777" w:rsidR="00E8796F" w:rsidRPr="004F0197" w:rsidRDefault="00E8796F" w:rsidP="00E8796F">
      <w:pPr>
        <w:spacing w:line="240" w:lineRule="auto"/>
        <w:ind w:left="-737" w:right="-680"/>
        <w:contextualSpacing/>
        <w:rPr>
          <w:rFonts w:cs="Arial"/>
          <w:sz w:val="20"/>
          <w:szCs w:val="20"/>
          <w:lang w:val="ru-RU"/>
        </w:rPr>
      </w:pPr>
      <w:r w:rsidRPr="004F0197">
        <w:rPr>
          <w:rFonts w:cs="Arial"/>
          <w:sz w:val="20"/>
          <w:szCs w:val="20"/>
          <w:lang w:val="ru-RU"/>
        </w:rPr>
        <w:t>Лицензиат безусловно соглашается с настоящим Соглашением пользования сервисом путём совершения конклюдентных действий по подключению Сервиса «</w:t>
      </w:r>
      <w:proofErr w:type="spellStart"/>
      <w:r w:rsidRPr="004F0197">
        <w:rPr>
          <w:rFonts w:cs="Arial"/>
          <w:sz w:val="20"/>
          <w:szCs w:val="20"/>
          <w:lang w:val="ru-RU"/>
        </w:rPr>
        <w:t>Автоплатеж</w:t>
      </w:r>
      <w:proofErr w:type="spellEnd"/>
      <w:r w:rsidRPr="004F0197">
        <w:rPr>
          <w:rFonts w:cs="Arial"/>
          <w:sz w:val="20"/>
          <w:szCs w:val="20"/>
          <w:lang w:val="ru-RU"/>
        </w:rPr>
        <w:t>» в момент принятия Абонентом настоящего Соглашения и выполнения действий по активации Сервиса «</w:t>
      </w:r>
      <w:proofErr w:type="spellStart"/>
      <w:r w:rsidRPr="004F0197">
        <w:rPr>
          <w:rFonts w:cs="Arial"/>
          <w:sz w:val="20"/>
          <w:szCs w:val="20"/>
          <w:lang w:val="ru-RU"/>
        </w:rPr>
        <w:t>Автоплатеж</w:t>
      </w:r>
      <w:proofErr w:type="spellEnd"/>
      <w:r w:rsidRPr="004F0197">
        <w:rPr>
          <w:rFonts w:cs="Arial"/>
          <w:sz w:val="20"/>
          <w:szCs w:val="20"/>
          <w:lang w:val="ru-RU"/>
        </w:rPr>
        <w:t>»: проведение первого платежа и успешная регистрация банковской карты в Личном кабинете означает полное принятие Лицензиатом условий настоящего Соглашения. Активируя Сервис "</w:t>
      </w:r>
      <w:proofErr w:type="spellStart"/>
      <w:r w:rsidRPr="004F0197">
        <w:rPr>
          <w:rFonts w:cs="Arial"/>
          <w:sz w:val="20"/>
          <w:szCs w:val="20"/>
          <w:lang w:val="ru-RU"/>
        </w:rPr>
        <w:t>Автоплатеж</w:t>
      </w:r>
      <w:proofErr w:type="spellEnd"/>
      <w:r w:rsidRPr="004F0197">
        <w:rPr>
          <w:rFonts w:cs="Arial"/>
          <w:sz w:val="20"/>
          <w:szCs w:val="20"/>
          <w:lang w:val="ru-RU"/>
        </w:rPr>
        <w:t xml:space="preserve">", Лицензиат подтверждает своё согласие на </w:t>
      </w:r>
      <w:proofErr w:type="spellStart"/>
      <w:r w:rsidRPr="004F0197">
        <w:rPr>
          <w:rFonts w:cs="Arial"/>
          <w:sz w:val="20"/>
          <w:szCs w:val="20"/>
          <w:lang w:val="ru-RU"/>
        </w:rPr>
        <w:t>безакцептное</w:t>
      </w:r>
      <w:proofErr w:type="spellEnd"/>
      <w:r w:rsidRPr="004F0197">
        <w:rPr>
          <w:rFonts w:cs="Arial"/>
          <w:sz w:val="20"/>
          <w:szCs w:val="20"/>
          <w:lang w:val="ru-RU"/>
        </w:rPr>
        <w:t xml:space="preserve"> периодическое списание денежных средств со счёта банковской карты на сумму выставляемых Лицензиаром счетов начиная с момента активации до момента деактивации Сервиса "</w:t>
      </w:r>
      <w:proofErr w:type="spellStart"/>
      <w:r w:rsidRPr="004F0197">
        <w:rPr>
          <w:rFonts w:cs="Arial"/>
          <w:sz w:val="20"/>
          <w:szCs w:val="20"/>
          <w:lang w:val="ru-RU"/>
        </w:rPr>
        <w:t>Автоплатеж</w:t>
      </w:r>
      <w:proofErr w:type="spellEnd"/>
      <w:r w:rsidRPr="004F0197">
        <w:rPr>
          <w:rFonts w:cs="Arial"/>
          <w:sz w:val="20"/>
          <w:szCs w:val="20"/>
          <w:lang w:val="ru-RU"/>
        </w:rPr>
        <w:t xml:space="preserve">" в соответствии с настоящим Соглашением. </w:t>
      </w:r>
    </w:p>
    <w:p w14:paraId="731E9348" w14:textId="77777777" w:rsidR="00E8796F" w:rsidRPr="004F0197" w:rsidRDefault="00E8796F" w:rsidP="00E8796F">
      <w:pPr>
        <w:spacing w:line="240" w:lineRule="auto"/>
        <w:ind w:left="-737" w:right="-680"/>
        <w:contextualSpacing/>
        <w:rPr>
          <w:rFonts w:cs="Arial"/>
          <w:sz w:val="20"/>
          <w:szCs w:val="20"/>
          <w:lang w:val="ru-RU"/>
        </w:rPr>
      </w:pPr>
    </w:p>
    <w:p w14:paraId="77052C7C" w14:textId="77777777" w:rsidR="00E8796F" w:rsidRPr="004F0197" w:rsidRDefault="00E8796F" w:rsidP="00E8796F">
      <w:pPr>
        <w:spacing w:line="240" w:lineRule="auto"/>
        <w:ind w:left="-737" w:right="-680"/>
        <w:contextualSpacing/>
        <w:rPr>
          <w:rFonts w:cs="Arial"/>
          <w:b/>
          <w:bCs/>
          <w:sz w:val="20"/>
          <w:szCs w:val="20"/>
          <w:lang w:val="ru-RU"/>
        </w:rPr>
      </w:pPr>
      <w:r w:rsidRPr="004F0197">
        <w:rPr>
          <w:rFonts w:cs="Arial"/>
          <w:b/>
          <w:bCs/>
          <w:sz w:val="20"/>
          <w:szCs w:val="20"/>
          <w:lang w:val="ru-RU"/>
        </w:rPr>
        <w:t>Термины и определения:</w:t>
      </w:r>
    </w:p>
    <w:p w14:paraId="1C8890A7" w14:textId="77777777" w:rsidR="00E8796F" w:rsidRPr="004F0197" w:rsidRDefault="00E8796F" w:rsidP="00E8796F">
      <w:pPr>
        <w:spacing w:line="240" w:lineRule="auto"/>
        <w:ind w:left="-737" w:right="-680"/>
        <w:contextualSpacing/>
        <w:rPr>
          <w:rFonts w:cs="Arial"/>
          <w:b/>
          <w:bCs/>
          <w:sz w:val="20"/>
          <w:szCs w:val="20"/>
          <w:lang w:val="ru-RU"/>
        </w:rPr>
      </w:pPr>
    </w:p>
    <w:p w14:paraId="3E221708" w14:textId="77777777" w:rsidR="00E8796F" w:rsidRPr="004F0197" w:rsidRDefault="00E8796F" w:rsidP="00E8796F">
      <w:pPr>
        <w:spacing w:line="240" w:lineRule="auto"/>
        <w:ind w:left="-737" w:right="-680"/>
        <w:contextualSpacing/>
        <w:rPr>
          <w:rFonts w:cs="Arial"/>
          <w:sz w:val="20"/>
          <w:szCs w:val="20"/>
          <w:lang w:val="ru-RU"/>
        </w:rPr>
      </w:pPr>
      <w:r w:rsidRPr="004F0197">
        <w:rPr>
          <w:rFonts w:cs="Arial"/>
          <w:b/>
          <w:bCs/>
          <w:sz w:val="20"/>
          <w:szCs w:val="20"/>
          <w:lang w:val="ru-RU"/>
        </w:rPr>
        <w:t>Сервис «</w:t>
      </w:r>
      <w:proofErr w:type="spellStart"/>
      <w:r w:rsidRPr="004F0197">
        <w:rPr>
          <w:rFonts w:cs="Arial"/>
          <w:b/>
          <w:bCs/>
          <w:sz w:val="20"/>
          <w:szCs w:val="20"/>
          <w:lang w:val="ru-RU"/>
        </w:rPr>
        <w:t>Автоплатеж</w:t>
      </w:r>
      <w:proofErr w:type="spellEnd"/>
      <w:r w:rsidRPr="004F0197">
        <w:rPr>
          <w:rFonts w:cs="Arial"/>
          <w:b/>
          <w:bCs/>
          <w:sz w:val="20"/>
          <w:szCs w:val="20"/>
          <w:lang w:val="ru-RU"/>
        </w:rPr>
        <w:t>»</w:t>
      </w:r>
      <w:r w:rsidRPr="004F0197">
        <w:rPr>
          <w:rFonts w:cs="Arial"/>
          <w:sz w:val="20"/>
          <w:szCs w:val="20"/>
          <w:lang w:val="ru-RU"/>
        </w:rPr>
        <w:t xml:space="preserve"> — операции по осуществлению </w:t>
      </w:r>
      <w:proofErr w:type="spellStart"/>
      <w:r w:rsidRPr="004F0197">
        <w:rPr>
          <w:rFonts w:cs="Arial"/>
          <w:sz w:val="20"/>
          <w:szCs w:val="20"/>
          <w:lang w:val="ru-RU"/>
        </w:rPr>
        <w:t>безакцептных</w:t>
      </w:r>
      <w:proofErr w:type="spellEnd"/>
      <w:r w:rsidRPr="004F0197">
        <w:rPr>
          <w:rFonts w:cs="Arial"/>
          <w:sz w:val="20"/>
          <w:szCs w:val="20"/>
          <w:lang w:val="ru-RU"/>
        </w:rPr>
        <w:t xml:space="preserve"> автоматических переводов денежных средств в пользу ТЕКО с банковской карты Держателя за последующие периоды пользования услугами.</w:t>
      </w:r>
    </w:p>
    <w:p w14:paraId="3CDA68DF" w14:textId="77777777" w:rsidR="00E8796F" w:rsidRPr="004F0197" w:rsidRDefault="00E8796F" w:rsidP="00E8796F">
      <w:pPr>
        <w:spacing w:line="240" w:lineRule="auto"/>
        <w:ind w:left="-737" w:right="-680"/>
        <w:contextualSpacing/>
        <w:rPr>
          <w:rFonts w:cs="Arial"/>
          <w:sz w:val="20"/>
          <w:szCs w:val="20"/>
          <w:lang w:val="ru-RU"/>
        </w:rPr>
      </w:pPr>
      <w:r w:rsidRPr="004F0197">
        <w:rPr>
          <w:rFonts w:cs="Arial"/>
          <w:b/>
          <w:bCs/>
          <w:sz w:val="20"/>
          <w:szCs w:val="20"/>
          <w:lang w:val="ru-RU"/>
        </w:rPr>
        <w:t>Договор</w:t>
      </w:r>
      <w:r w:rsidRPr="004F0197">
        <w:rPr>
          <w:rFonts w:cs="Arial"/>
          <w:sz w:val="20"/>
          <w:szCs w:val="20"/>
          <w:lang w:val="ru-RU"/>
        </w:rPr>
        <w:t xml:space="preserve"> — Лицензионный договор присоединения на использование программы для ЭВМ (размещенный по адресу в </w:t>
      </w:r>
      <w:r w:rsidRPr="004F0197">
        <w:rPr>
          <w:rFonts w:eastAsia="Times New Roman" w:cs="Arial"/>
          <w:sz w:val="20"/>
          <w:szCs w:val="20"/>
          <w:lang w:val="ru-RU" w:eastAsia="ru-RU"/>
        </w:rPr>
        <w:t xml:space="preserve">сети Интернет </w:t>
      </w:r>
      <w:hyperlink r:id="rId6" w:history="1">
        <w:r w:rsidRPr="004F0197">
          <w:rPr>
            <w:rFonts w:eastAsia="Times New Roman" w:cs="Arial"/>
            <w:sz w:val="20"/>
            <w:szCs w:val="20"/>
            <w:u w:val="single"/>
            <w:lang w:val="ru-RU" w:eastAsia="ru-RU"/>
          </w:rPr>
          <w:t>https://teko.io/ru/legal?doc=joint-license-agreement</w:t>
        </w:r>
      </w:hyperlink>
      <w:r w:rsidRPr="004F0197">
        <w:rPr>
          <w:rFonts w:cs="Arial"/>
          <w:sz w:val="20"/>
          <w:szCs w:val="20"/>
          <w:lang w:val="ru-RU"/>
        </w:rPr>
        <w:t>), заключенный между Лицензиатом и ТЕКО.</w:t>
      </w:r>
    </w:p>
    <w:p w14:paraId="21F5FA1F" w14:textId="77777777" w:rsidR="00E8796F" w:rsidRPr="004F0197" w:rsidRDefault="00E8796F" w:rsidP="00E8796F">
      <w:pPr>
        <w:spacing w:line="240" w:lineRule="auto"/>
        <w:ind w:left="-737" w:right="-680"/>
        <w:contextualSpacing/>
        <w:rPr>
          <w:rFonts w:cs="Arial"/>
          <w:sz w:val="20"/>
          <w:szCs w:val="20"/>
          <w:lang w:val="ru-RU"/>
        </w:rPr>
      </w:pPr>
      <w:r w:rsidRPr="004F0197">
        <w:rPr>
          <w:rFonts w:cs="Arial"/>
          <w:b/>
          <w:bCs/>
          <w:sz w:val="20"/>
          <w:szCs w:val="20"/>
          <w:lang w:val="ru-RU"/>
        </w:rPr>
        <w:t xml:space="preserve">Лицензиат </w:t>
      </w:r>
      <w:r w:rsidRPr="004F0197">
        <w:rPr>
          <w:rFonts w:cs="Arial"/>
          <w:sz w:val="20"/>
          <w:szCs w:val="20"/>
          <w:lang w:val="ru-RU"/>
        </w:rPr>
        <w:t>— физическое лицо, заключившее Договор с ТЕКО.</w:t>
      </w:r>
    </w:p>
    <w:p w14:paraId="74893932" w14:textId="77777777" w:rsidR="00E8796F" w:rsidRPr="004F0197" w:rsidRDefault="00E8796F" w:rsidP="00E8796F">
      <w:pPr>
        <w:spacing w:line="240" w:lineRule="auto"/>
        <w:ind w:left="-737" w:right="-680"/>
        <w:contextualSpacing/>
        <w:rPr>
          <w:rFonts w:cs="Arial"/>
          <w:sz w:val="20"/>
          <w:szCs w:val="20"/>
          <w:lang w:val="ru-RU"/>
        </w:rPr>
      </w:pPr>
      <w:r w:rsidRPr="004F0197">
        <w:rPr>
          <w:rFonts w:cs="Arial"/>
          <w:b/>
          <w:bCs/>
          <w:sz w:val="20"/>
          <w:szCs w:val="20"/>
          <w:lang w:val="ru-RU"/>
        </w:rPr>
        <w:t>Банковская карта (или банковская карта)</w:t>
      </w:r>
      <w:r w:rsidRPr="004F0197">
        <w:rPr>
          <w:rFonts w:cs="Arial"/>
          <w:sz w:val="20"/>
          <w:szCs w:val="20"/>
          <w:lang w:val="ru-RU"/>
        </w:rPr>
        <w:t xml:space="preserve"> — платежная карта, предназначенная для оплаты товаров, услуг.</w:t>
      </w:r>
    </w:p>
    <w:p w14:paraId="4F642D5F" w14:textId="77777777" w:rsidR="00E8796F" w:rsidRPr="004F0197" w:rsidRDefault="00E8796F" w:rsidP="00E8796F">
      <w:pPr>
        <w:spacing w:line="240" w:lineRule="auto"/>
        <w:ind w:left="-737" w:right="-680"/>
        <w:contextualSpacing/>
        <w:rPr>
          <w:rFonts w:cs="Arial"/>
          <w:sz w:val="20"/>
          <w:szCs w:val="20"/>
          <w:lang w:val="ru-RU"/>
        </w:rPr>
      </w:pPr>
      <w:r w:rsidRPr="004F0197">
        <w:rPr>
          <w:rFonts w:cs="Arial"/>
          <w:b/>
          <w:bCs/>
          <w:sz w:val="20"/>
          <w:szCs w:val="20"/>
          <w:lang w:val="ru-RU"/>
        </w:rPr>
        <w:t>Банк</w:t>
      </w:r>
      <w:r w:rsidRPr="004F0197">
        <w:rPr>
          <w:rFonts w:cs="Arial"/>
          <w:sz w:val="20"/>
          <w:szCs w:val="20"/>
          <w:lang w:val="ru-RU"/>
        </w:rPr>
        <w:t xml:space="preserve"> — АО «Тинькофф Банк», Лицензия ЦБ РФ №2673 (кредитная организация, являющаяся участником платежной системы и осуществляющая расчеты с предприятиями торговли (услуг) по операциям, совершенным с использованием банковских карт).</w:t>
      </w:r>
    </w:p>
    <w:p w14:paraId="512D793E" w14:textId="77777777" w:rsidR="00E8796F" w:rsidRPr="004F0197" w:rsidRDefault="00E8796F" w:rsidP="00E8796F">
      <w:pPr>
        <w:spacing w:line="240" w:lineRule="auto"/>
        <w:ind w:left="-737" w:right="-680"/>
        <w:contextualSpacing/>
        <w:rPr>
          <w:rFonts w:cs="Arial"/>
          <w:b/>
          <w:bCs/>
          <w:sz w:val="20"/>
          <w:szCs w:val="20"/>
          <w:lang w:val="ru-RU"/>
        </w:rPr>
      </w:pPr>
    </w:p>
    <w:p w14:paraId="5891104C" w14:textId="77777777" w:rsidR="00E8796F" w:rsidRPr="004F0197" w:rsidRDefault="00E8796F" w:rsidP="00E8796F">
      <w:pPr>
        <w:numPr>
          <w:ilvl w:val="0"/>
          <w:numId w:val="1"/>
        </w:numPr>
        <w:autoSpaceDE/>
        <w:autoSpaceDN/>
        <w:adjustRightInd/>
        <w:spacing w:line="240" w:lineRule="auto"/>
        <w:ind w:right="-680"/>
        <w:contextualSpacing/>
        <w:jc w:val="left"/>
        <w:rPr>
          <w:rFonts w:cs="Arial"/>
          <w:b/>
          <w:bCs/>
          <w:sz w:val="20"/>
          <w:szCs w:val="20"/>
          <w:lang w:val="ru-RU"/>
        </w:rPr>
      </w:pPr>
      <w:r w:rsidRPr="004F0197">
        <w:rPr>
          <w:rFonts w:cs="Arial"/>
          <w:b/>
          <w:bCs/>
          <w:sz w:val="20"/>
          <w:szCs w:val="20"/>
          <w:lang w:val="ru-RU"/>
        </w:rPr>
        <w:t>ОПИСАНИЕ СЕРВИСА «АВТОПЛАТЕЖ» И СПОСОБ ЕГО АКТИВАЦИИ</w:t>
      </w:r>
    </w:p>
    <w:p w14:paraId="502B061B" w14:textId="77777777" w:rsidR="00E8796F" w:rsidRPr="004F0197" w:rsidRDefault="00E8796F" w:rsidP="00E8796F">
      <w:pPr>
        <w:spacing w:line="240" w:lineRule="auto"/>
        <w:ind w:left="-377" w:right="-680"/>
        <w:contextualSpacing/>
        <w:rPr>
          <w:rFonts w:cs="Arial"/>
          <w:b/>
          <w:bCs/>
          <w:sz w:val="20"/>
          <w:szCs w:val="20"/>
          <w:lang w:val="ru-RU"/>
        </w:rPr>
      </w:pPr>
    </w:p>
    <w:p w14:paraId="1D961320" w14:textId="77777777" w:rsidR="00E8796F" w:rsidRPr="004F0197" w:rsidRDefault="00E8796F" w:rsidP="00E8796F">
      <w:pPr>
        <w:spacing w:line="240" w:lineRule="auto"/>
        <w:ind w:left="-737" w:right="-680"/>
        <w:contextualSpacing/>
        <w:rPr>
          <w:rFonts w:cs="Arial"/>
          <w:sz w:val="20"/>
          <w:szCs w:val="20"/>
          <w:lang w:val="ru-RU"/>
        </w:rPr>
      </w:pPr>
      <w:r w:rsidRPr="004F0197">
        <w:rPr>
          <w:rFonts w:cs="Arial"/>
          <w:sz w:val="20"/>
          <w:szCs w:val="20"/>
          <w:lang w:val="ru-RU"/>
        </w:rPr>
        <w:t>1. Сервис «</w:t>
      </w:r>
      <w:proofErr w:type="spellStart"/>
      <w:r w:rsidRPr="004F0197">
        <w:rPr>
          <w:rFonts w:cs="Arial"/>
          <w:sz w:val="20"/>
          <w:szCs w:val="20"/>
          <w:lang w:val="ru-RU"/>
        </w:rPr>
        <w:t>Автоплатеж</w:t>
      </w:r>
      <w:proofErr w:type="spellEnd"/>
      <w:r w:rsidRPr="004F0197">
        <w:rPr>
          <w:rFonts w:cs="Arial"/>
          <w:sz w:val="20"/>
          <w:szCs w:val="20"/>
          <w:lang w:val="ru-RU"/>
        </w:rPr>
        <w:t xml:space="preserve">» позволяет Лицензиату оплачивать любое лицензионное вознаграждение в пользу ТЕКО, информация о Тарифах для расчета которого размещена на сайте ТЕКО, путём автоматических перечислений денежных средств посредством Банка в пользу ТЕКО с Банковских карт без их физического использования. </w:t>
      </w:r>
    </w:p>
    <w:p w14:paraId="216879E2" w14:textId="77777777" w:rsidR="00E8796F" w:rsidRPr="004F0197" w:rsidRDefault="00E8796F" w:rsidP="00E8796F">
      <w:pPr>
        <w:spacing w:line="240" w:lineRule="auto"/>
        <w:ind w:left="-737" w:right="-680"/>
        <w:contextualSpacing/>
        <w:rPr>
          <w:rFonts w:cs="Arial"/>
          <w:sz w:val="20"/>
          <w:szCs w:val="20"/>
          <w:lang w:val="ru-RU"/>
        </w:rPr>
      </w:pPr>
      <w:r w:rsidRPr="004F0197">
        <w:rPr>
          <w:rFonts w:cs="Arial"/>
          <w:sz w:val="20"/>
          <w:szCs w:val="20"/>
          <w:lang w:val="ru-RU"/>
        </w:rPr>
        <w:t>2. Активация (подключение) Сервиса «</w:t>
      </w:r>
      <w:proofErr w:type="spellStart"/>
      <w:r w:rsidRPr="004F0197">
        <w:rPr>
          <w:rFonts w:cs="Arial"/>
          <w:sz w:val="20"/>
          <w:szCs w:val="20"/>
          <w:lang w:val="ru-RU"/>
        </w:rPr>
        <w:t>Автоплатеж</w:t>
      </w:r>
      <w:proofErr w:type="spellEnd"/>
      <w:r w:rsidRPr="004F0197">
        <w:rPr>
          <w:rFonts w:cs="Arial"/>
          <w:sz w:val="20"/>
          <w:szCs w:val="20"/>
          <w:lang w:val="ru-RU"/>
        </w:rPr>
        <w:t>» выполняется в Личном кабинете Лицензиата.</w:t>
      </w:r>
    </w:p>
    <w:p w14:paraId="4018A2FA" w14:textId="77777777" w:rsidR="00E8796F" w:rsidRPr="004F0197" w:rsidRDefault="00E8796F" w:rsidP="00E8796F">
      <w:pPr>
        <w:spacing w:line="240" w:lineRule="auto"/>
        <w:ind w:left="-737" w:right="-680"/>
        <w:contextualSpacing/>
        <w:rPr>
          <w:rFonts w:cs="Arial"/>
          <w:sz w:val="20"/>
          <w:szCs w:val="20"/>
          <w:lang w:val="ru-RU"/>
        </w:rPr>
      </w:pPr>
      <w:r w:rsidRPr="004F0197">
        <w:rPr>
          <w:rFonts w:cs="Arial"/>
          <w:sz w:val="20"/>
          <w:szCs w:val="20"/>
          <w:lang w:val="ru-RU"/>
        </w:rPr>
        <w:t>Для активации Сервиса «</w:t>
      </w:r>
      <w:proofErr w:type="spellStart"/>
      <w:r w:rsidRPr="004F0197">
        <w:rPr>
          <w:rFonts w:cs="Arial"/>
          <w:sz w:val="20"/>
          <w:szCs w:val="20"/>
          <w:lang w:val="ru-RU"/>
        </w:rPr>
        <w:t>Автоплатеж</w:t>
      </w:r>
      <w:proofErr w:type="spellEnd"/>
      <w:r w:rsidRPr="004F0197">
        <w:rPr>
          <w:rFonts w:cs="Arial"/>
          <w:sz w:val="20"/>
          <w:szCs w:val="20"/>
          <w:lang w:val="ru-RU"/>
        </w:rPr>
        <w:t>» при первоначальной оплате Лицензиатом лицензионного вознаграждения в разделе «Детали оплаты» Лицензиат выбирает раздел «Форма оплаты», вносит данные Банковской карты, проставляет отметку в чек-боксе «Сохранить данные карты» и проставляет отметку о подтверждении согласия с условиями Соглашения. Далее Лицензиат выбирает кнопку «Оплатить». Если платеж с Банковской карты успешно выполнен, данные Банковской карты сохраняются в Личном кабинете Лицензиата в разделе «Детали оплаты». Если платеж с Банковской карты не выполнен, данные Банковской карты не сохраняются в Личном кабинете Лицензиата.</w:t>
      </w:r>
    </w:p>
    <w:p w14:paraId="0C311C6D" w14:textId="77777777" w:rsidR="00E8796F" w:rsidRPr="004F0197" w:rsidRDefault="00E8796F" w:rsidP="00E8796F">
      <w:pPr>
        <w:spacing w:line="240" w:lineRule="auto"/>
        <w:ind w:left="-737" w:right="-680"/>
        <w:contextualSpacing/>
        <w:rPr>
          <w:rFonts w:cs="Arial"/>
          <w:sz w:val="20"/>
          <w:szCs w:val="20"/>
          <w:lang w:val="ru-RU"/>
        </w:rPr>
      </w:pPr>
      <w:r w:rsidRPr="004F0197">
        <w:rPr>
          <w:rFonts w:cs="Arial"/>
          <w:sz w:val="20"/>
          <w:szCs w:val="20"/>
          <w:lang w:val="ru-RU"/>
        </w:rPr>
        <w:t xml:space="preserve">Если Лицензиату требуется изменить данные Банковской карты, Лицензиат в Личном кабинете выбирает раздел «Изменить» и раздел «Форма оплаты». Далее Лицензиат вносит в указанный раздел данные новой Банковской карты. Для подтверждения действительности Банковской карты с нее осуществляется списание денежной суммы в размере один рубль – с последующим возвратом указанной суммы на счет Банковской карты. </w:t>
      </w:r>
    </w:p>
    <w:p w14:paraId="531C3FA3" w14:textId="77777777" w:rsidR="00E8796F" w:rsidRPr="004F0197" w:rsidRDefault="00E8796F" w:rsidP="00E8796F">
      <w:pPr>
        <w:spacing w:line="240" w:lineRule="auto"/>
        <w:ind w:left="-737" w:right="-680"/>
        <w:contextualSpacing/>
        <w:rPr>
          <w:rFonts w:cs="Arial"/>
          <w:sz w:val="20"/>
          <w:szCs w:val="20"/>
          <w:lang w:val="ru-RU"/>
        </w:rPr>
      </w:pPr>
      <w:r w:rsidRPr="004F0197">
        <w:rPr>
          <w:rFonts w:cs="Arial"/>
          <w:sz w:val="20"/>
          <w:szCs w:val="20"/>
          <w:lang w:val="ru-RU"/>
        </w:rPr>
        <w:lastRenderedPageBreak/>
        <w:t>Если Лицензиат вносит данные Банковской карты без одновременной оплаты лицензионного вознаграждения по какому-либо Тарифу, Лицензиат выбирает раздел «Добавить карту», в который вносит необходимые данные о Банковской карте.</w:t>
      </w:r>
    </w:p>
    <w:p w14:paraId="7DC23956" w14:textId="77777777" w:rsidR="00E8796F" w:rsidRPr="004F0197" w:rsidRDefault="00E8796F" w:rsidP="00E8796F">
      <w:pPr>
        <w:spacing w:line="240" w:lineRule="auto"/>
        <w:ind w:left="-737" w:right="-680"/>
        <w:contextualSpacing/>
        <w:rPr>
          <w:rFonts w:cs="Arial"/>
          <w:sz w:val="20"/>
          <w:szCs w:val="20"/>
          <w:lang w:val="ru-RU"/>
        </w:rPr>
      </w:pPr>
      <w:r w:rsidRPr="004F0197">
        <w:rPr>
          <w:rFonts w:cs="Arial"/>
          <w:sz w:val="20"/>
          <w:szCs w:val="20"/>
          <w:lang w:val="ru-RU"/>
        </w:rPr>
        <w:t>Выбирая опцию «</w:t>
      </w:r>
      <w:proofErr w:type="spellStart"/>
      <w:r w:rsidRPr="004F0197">
        <w:rPr>
          <w:rFonts w:cs="Arial"/>
          <w:sz w:val="20"/>
          <w:szCs w:val="20"/>
          <w:lang w:val="ru-RU"/>
        </w:rPr>
        <w:t>Автоплатеж</w:t>
      </w:r>
      <w:proofErr w:type="spellEnd"/>
      <w:r w:rsidRPr="004F0197">
        <w:rPr>
          <w:rFonts w:cs="Arial"/>
          <w:sz w:val="20"/>
          <w:szCs w:val="20"/>
          <w:lang w:val="ru-RU"/>
        </w:rPr>
        <w:t>», Лицензиат соглашается с настоящим Соглашением. Сервис «</w:t>
      </w:r>
      <w:proofErr w:type="spellStart"/>
      <w:r w:rsidRPr="004F0197">
        <w:rPr>
          <w:rFonts w:cs="Arial"/>
          <w:sz w:val="20"/>
          <w:szCs w:val="20"/>
          <w:lang w:val="ru-RU"/>
        </w:rPr>
        <w:t>Автоплатеж</w:t>
      </w:r>
      <w:proofErr w:type="spellEnd"/>
      <w:r w:rsidRPr="004F0197">
        <w:rPr>
          <w:rFonts w:cs="Arial"/>
          <w:sz w:val="20"/>
          <w:szCs w:val="20"/>
          <w:lang w:val="ru-RU"/>
        </w:rPr>
        <w:t>» подключается только для Банковской карты, данные которой внесены Лицензиатом и сохранены в Личном кабинете Лицензиата.</w:t>
      </w:r>
    </w:p>
    <w:p w14:paraId="1F1E9261" w14:textId="77777777" w:rsidR="00E8796F" w:rsidRPr="004F0197" w:rsidRDefault="00E8796F" w:rsidP="00E8796F">
      <w:pPr>
        <w:spacing w:line="240" w:lineRule="auto"/>
        <w:ind w:left="-737" w:right="-680"/>
        <w:contextualSpacing/>
        <w:rPr>
          <w:rFonts w:cs="Arial"/>
          <w:sz w:val="20"/>
          <w:szCs w:val="20"/>
          <w:lang w:val="ru-RU"/>
        </w:rPr>
      </w:pPr>
      <w:r w:rsidRPr="004F0197">
        <w:rPr>
          <w:rFonts w:cs="Arial"/>
          <w:sz w:val="20"/>
          <w:szCs w:val="20"/>
          <w:lang w:val="ru-RU"/>
        </w:rPr>
        <w:t>3. В дальнейшем, с Банковской карты Лицензиата, подключенной к сервису «</w:t>
      </w:r>
      <w:proofErr w:type="spellStart"/>
      <w:r w:rsidRPr="004F0197">
        <w:rPr>
          <w:rFonts w:cs="Arial"/>
          <w:sz w:val="20"/>
          <w:szCs w:val="20"/>
          <w:lang w:val="ru-RU"/>
        </w:rPr>
        <w:t>Автоплатеж</w:t>
      </w:r>
      <w:proofErr w:type="spellEnd"/>
      <w:r w:rsidRPr="004F0197">
        <w:rPr>
          <w:rFonts w:cs="Arial"/>
          <w:sz w:val="20"/>
          <w:szCs w:val="20"/>
          <w:lang w:val="ru-RU"/>
        </w:rPr>
        <w:t>», будет списываться сумма денежных средств, достаточная для оплаты лицензионного вознаграждения в пользу ТЕКО. Списание осуществляется с периодичностью, которую выбирает Лицензиат в Личном кабинете (один раз в месяц или один раз в год). Денежные средства подлежат списанию с банковской карты Лицензиата без ограничения по времени, - до момента самостоятельного отказа Лицензиата от сервиса «</w:t>
      </w:r>
      <w:proofErr w:type="spellStart"/>
      <w:r w:rsidRPr="004F0197">
        <w:rPr>
          <w:rFonts w:cs="Arial"/>
          <w:sz w:val="20"/>
          <w:szCs w:val="20"/>
          <w:lang w:val="ru-RU"/>
        </w:rPr>
        <w:t>Автоплатеж</w:t>
      </w:r>
      <w:proofErr w:type="spellEnd"/>
      <w:r w:rsidRPr="004F0197">
        <w:rPr>
          <w:rFonts w:cs="Arial"/>
          <w:sz w:val="20"/>
          <w:szCs w:val="20"/>
          <w:lang w:val="ru-RU"/>
        </w:rPr>
        <w:t>». Лицензиат самостоятельно подключает, отключает, возобновляет действие ранее зарегистрированных автоматических платежей Банковской карты. При первоначальной активации Сервиса «</w:t>
      </w:r>
      <w:proofErr w:type="spellStart"/>
      <w:r w:rsidRPr="004F0197">
        <w:rPr>
          <w:rFonts w:cs="Arial"/>
          <w:sz w:val="20"/>
          <w:szCs w:val="20"/>
          <w:lang w:val="ru-RU"/>
        </w:rPr>
        <w:t>Автоплатеж</w:t>
      </w:r>
      <w:proofErr w:type="spellEnd"/>
      <w:r w:rsidRPr="004F0197">
        <w:rPr>
          <w:rFonts w:cs="Arial"/>
          <w:sz w:val="20"/>
          <w:szCs w:val="20"/>
          <w:lang w:val="ru-RU"/>
        </w:rPr>
        <w:t xml:space="preserve">» списание суммы Лицензионного вознаграждения, уже оплаченного на дату активации, не происходит, - оплата Лицензионного вознаграждения путем </w:t>
      </w:r>
      <w:proofErr w:type="spellStart"/>
      <w:r w:rsidRPr="004F0197">
        <w:rPr>
          <w:rFonts w:cs="Arial"/>
          <w:sz w:val="20"/>
          <w:szCs w:val="20"/>
          <w:lang w:val="ru-RU"/>
        </w:rPr>
        <w:t>безакцептного</w:t>
      </w:r>
      <w:proofErr w:type="spellEnd"/>
      <w:r w:rsidRPr="004F0197">
        <w:rPr>
          <w:rFonts w:cs="Arial"/>
          <w:sz w:val="20"/>
          <w:szCs w:val="20"/>
          <w:lang w:val="ru-RU"/>
        </w:rPr>
        <w:t xml:space="preserve"> списания осуществляется после завершения оплаченного периода.</w:t>
      </w:r>
    </w:p>
    <w:p w14:paraId="72E249B5" w14:textId="77777777" w:rsidR="00E8796F" w:rsidRPr="004F0197" w:rsidRDefault="00E8796F" w:rsidP="00E8796F">
      <w:pPr>
        <w:spacing w:line="240" w:lineRule="auto"/>
        <w:ind w:left="-737" w:right="-680"/>
        <w:contextualSpacing/>
        <w:rPr>
          <w:rFonts w:cs="Arial"/>
          <w:sz w:val="20"/>
          <w:szCs w:val="20"/>
          <w:lang w:val="ru-RU"/>
        </w:rPr>
      </w:pPr>
      <w:r w:rsidRPr="004F0197">
        <w:rPr>
          <w:rFonts w:cs="Arial"/>
          <w:sz w:val="20"/>
          <w:szCs w:val="20"/>
          <w:lang w:val="ru-RU"/>
        </w:rPr>
        <w:t>4. Все расчёты с использованием банковской карты, предусмотренные настоящим Соглашением пользования сервисом, производятся в рублях Российской Федерации.</w:t>
      </w:r>
    </w:p>
    <w:p w14:paraId="6E32A6FA" w14:textId="77777777" w:rsidR="00E8796F" w:rsidRPr="004F0197" w:rsidRDefault="00E8796F" w:rsidP="00E8796F">
      <w:pPr>
        <w:spacing w:line="240" w:lineRule="auto"/>
        <w:ind w:left="-737" w:right="-680"/>
        <w:contextualSpacing/>
        <w:rPr>
          <w:rFonts w:cs="Arial"/>
          <w:sz w:val="20"/>
          <w:szCs w:val="20"/>
          <w:lang w:val="ru-RU"/>
        </w:rPr>
      </w:pPr>
      <w:r w:rsidRPr="004F0197">
        <w:rPr>
          <w:rFonts w:cs="Arial"/>
          <w:sz w:val="20"/>
          <w:szCs w:val="20"/>
          <w:lang w:val="ru-RU"/>
        </w:rPr>
        <w:t>5. Выполнение Лицензиатом действий, указанных в п. 2. настоящего Соглашения, выражающих согласие Лицензиата на активацию Сервиса «</w:t>
      </w:r>
      <w:proofErr w:type="spellStart"/>
      <w:r w:rsidRPr="004F0197">
        <w:rPr>
          <w:rFonts w:cs="Arial"/>
          <w:sz w:val="20"/>
          <w:szCs w:val="20"/>
          <w:lang w:val="ru-RU"/>
        </w:rPr>
        <w:t>Автоплатеж</w:t>
      </w:r>
      <w:proofErr w:type="spellEnd"/>
      <w:r w:rsidRPr="004F0197">
        <w:rPr>
          <w:rFonts w:cs="Arial"/>
          <w:sz w:val="20"/>
          <w:szCs w:val="20"/>
          <w:lang w:val="ru-RU"/>
        </w:rPr>
        <w:t>», означает согласие Лицензиата:</w:t>
      </w:r>
    </w:p>
    <w:p w14:paraId="283CB956" w14:textId="77777777" w:rsidR="00E8796F" w:rsidRPr="004F0197" w:rsidRDefault="00E8796F" w:rsidP="00E8796F">
      <w:pPr>
        <w:spacing w:line="240" w:lineRule="auto"/>
        <w:ind w:left="-737" w:right="-680"/>
        <w:contextualSpacing/>
        <w:rPr>
          <w:rFonts w:cs="Arial"/>
          <w:sz w:val="20"/>
          <w:szCs w:val="20"/>
          <w:lang w:val="ru-RU"/>
        </w:rPr>
      </w:pPr>
      <w:r w:rsidRPr="004F0197">
        <w:rPr>
          <w:rFonts w:cs="Arial"/>
          <w:sz w:val="20"/>
          <w:szCs w:val="20"/>
          <w:lang w:val="ru-RU"/>
        </w:rPr>
        <w:t>- на получение и оплату лицензионного вознаграждения в соответствии с указанными условиями;</w:t>
      </w:r>
    </w:p>
    <w:p w14:paraId="3C9EDD1A" w14:textId="77777777" w:rsidR="00E8796F" w:rsidRPr="004F0197" w:rsidRDefault="00E8796F" w:rsidP="00E8796F">
      <w:pPr>
        <w:spacing w:line="240" w:lineRule="auto"/>
        <w:ind w:left="-737" w:right="-680"/>
        <w:contextualSpacing/>
        <w:rPr>
          <w:rFonts w:cs="Arial"/>
          <w:sz w:val="20"/>
          <w:szCs w:val="20"/>
          <w:lang w:val="ru-RU"/>
        </w:rPr>
      </w:pPr>
      <w:r w:rsidRPr="004F0197">
        <w:rPr>
          <w:rFonts w:cs="Arial"/>
          <w:sz w:val="20"/>
          <w:szCs w:val="20"/>
          <w:lang w:val="ru-RU"/>
        </w:rPr>
        <w:t>- на передачу Банку идентифицирующих Лицензиата данных, в целях оказания услуг.</w:t>
      </w:r>
    </w:p>
    <w:p w14:paraId="35950583" w14:textId="77777777" w:rsidR="00E8796F" w:rsidRPr="004F0197" w:rsidRDefault="00E8796F" w:rsidP="00E8796F">
      <w:pPr>
        <w:spacing w:line="240" w:lineRule="auto"/>
        <w:ind w:left="-737" w:right="-680"/>
        <w:contextualSpacing/>
        <w:rPr>
          <w:rFonts w:cs="Arial"/>
          <w:sz w:val="20"/>
          <w:szCs w:val="20"/>
          <w:lang w:val="ru-RU"/>
        </w:rPr>
      </w:pPr>
    </w:p>
    <w:p w14:paraId="31014EFA" w14:textId="77777777" w:rsidR="00E8796F" w:rsidRPr="004F0197" w:rsidRDefault="00E8796F" w:rsidP="00E8796F">
      <w:pPr>
        <w:numPr>
          <w:ilvl w:val="0"/>
          <w:numId w:val="1"/>
        </w:numPr>
        <w:autoSpaceDE/>
        <w:autoSpaceDN/>
        <w:adjustRightInd/>
        <w:spacing w:line="240" w:lineRule="auto"/>
        <w:ind w:right="-680"/>
        <w:contextualSpacing/>
        <w:jc w:val="left"/>
        <w:rPr>
          <w:rFonts w:cs="Arial"/>
          <w:b/>
          <w:bCs/>
          <w:sz w:val="20"/>
          <w:szCs w:val="20"/>
          <w:lang w:val="ru-RU"/>
        </w:rPr>
      </w:pPr>
      <w:r w:rsidRPr="004F0197">
        <w:rPr>
          <w:rFonts w:cs="Arial"/>
          <w:b/>
          <w:bCs/>
          <w:sz w:val="20"/>
          <w:szCs w:val="20"/>
          <w:lang w:val="ru-RU"/>
        </w:rPr>
        <w:t>ОТКАЗ ЛИЦЕНЗИАТА ОТ СЕРВИСА «АВТОПЛАТЕЖ»</w:t>
      </w:r>
    </w:p>
    <w:p w14:paraId="1A3FA53D" w14:textId="77777777" w:rsidR="00E8796F" w:rsidRPr="004F0197" w:rsidRDefault="00E8796F" w:rsidP="00E8796F">
      <w:pPr>
        <w:spacing w:line="240" w:lineRule="auto"/>
        <w:ind w:left="-377" w:right="-680"/>
        <w:contextualSpacing/>
        <w:rPr>
          <w:rFonts w:cs="Arial"/>
          <w:b/>
          <w:bCs/>
          <w:sz w:val="20"/>
          <w:szCs w:val="20"/>
          <w:lang w:val="ru-RU"/>
        </w:rPr>
      </w:pPr>
    </w:p>
    <w:p w14:paraId="16B2D587" w14:textId="77777777" w:rsidR="00E8796F" w:rsidRPr="004F0197" w:rsidRDefault="00E8796F" w:rsidP="00E8796F">
      <w:pPr>
        <w:spacing w:line="240" w:lineRule="auto"/>
        <w:ind w:left="-737" w:right="-680"/>
        <w:contextualSpacing/>
        <w:rPr>
          <w:rFonts w:cs="Arial"/>
          <w:sz w:val="20"/>
          <w:szCs w:val="20"/>
          <w:lang w:val="ru-RU"/>
        </w:rPr>
      </w:pPr>
      <w:r w:rsidRPr="004F0197">
        <w:rPr>
          <w:rFonts w:cs="Arial"/>
          <w:sz w:val="20"/>
          <w:szCs w:val="20"/>
          <w:lang w:val="ru-RU"/>
        </w:rPr>
        <w:t>1. Лицензиат вправе в любое время отказаться от Сервиса «</w:t>
      </w:r>
      <w:proofErr w:type="spellStart"/>
      <w:r w:rsidRPr="004F0197">
        <w:rPr>
          <w:rFonts w:cs="Arial"/>
          <w:sz w:val="20"/>
          <w:szCs w:val="20"/>
          <w:lang w:val="ru-RU"/>
        </w:rPr>
        <w:t>Автоплатеж</w:t>
      </w:r>
      <w:proofErr w:type="spellEnd"/>
      <w:r w:rsidRPr="004F0197">
        <w:rPr>
          <w:rFonts w:cs="Arial"/>
          <w:sz w:val="20"/>
          <w:szCs w:val="20"/>
          <w:lang w:val="ru-RU"/>
        </w:rPr>
        <w:t xml:space="preserve">», выбрав в «Личном кабинете» опцию об отмене </w:t>
      </w:r>
      <w:proofErr w:type="spellStart"/>
      <w:r w:rsidRPr="004F0197">
        <w:rPr>
          <w:rFonts w:cs="Arial"/>
          <w:sz w:val="20"/>
          <w:szCs w:val="20"/>
          <w:lang w:val="ru-RU"/>
        </w:rPr>
        <w:t>автоплатежа</w:t>
      </w:r>
      <w:proofErr w:type="spellEnd"/>
      <w:r w:rsidRPr="004F0197">
        <w:rPr>
          <w:rFonts w:cs="Arial"/>
          <w:sz w:val="20"/>
          <w:szCs w:val="20"/>
          <w:lang w:val="ru-RU"/>
        </w:rPr>
        <w:t>.</w:t>
      </w:r>
    </w:p>
    <w:p w14:paraId="65B650A4" w14:textId="77777777" w:rsidR="00E8796F" w:rsidRPr="004F0197" w:rsidRDefault="00E8796F" w:rsidP="00E8796F">
      <w:pPr>
        <w:spacing w:line="240" w:lineRule="auto"/>
        <w:ind w:left="-737" w:right="-680"/>
        <w:contextualSpacing/>
        <w:rPr>
          <w:rFonts w:cs="Arial"/>
          <w:sz w:val="20"/>
          <w:szCs w:val="20"/>
          <w:lang w:val="ru-RU"/>
        </w:rPr>
      </w:pPr>
      <w:r w:rsidRPr="004F0197">
        <w:rPr>
          <w:rFonts w:cs="Arial"/>
          <w:sz w:val="20"/>
          <w:szCs w:val="20"/>
          <w:lang w:val="ru-RU"/>
        </w:rPr>
        <w:t>При этом лицензионное вознаграждение, оплаченное ранее, будут продолжать действовать весь период, оплаченный Лицензиатом в соответствии с настоящим Соглашением.</w:t>
      </w:r>
    </w:p>
    <w:p w14:paraId="1E40910D" w14:textId="77777777" w:rsidR="00E8796F" w:rsidRPr="004F0197" w:rsidRDefault="00E8796F" w:rsidP="00E8796F">
      <w:pPr>
        <w:spacing w:line="240" w:lineRule="auto"/>
        <w:ind w:left="-737" w:right="-680"/>
        <w:contextualSpacing/>
        <w:rPr>
          <w:rFonts w:cs="Arial"/>
          <w:sz w:val="20"/>
          <w:szCs w:val="20"/>
          <w:lang w:val="ru-RU"/>
        </w:rPr>
      </w:pPr>
    </w:p>
    <w:p w14:paraId="2E0961A9" w14:textId="77777777" w:rsidR="00E8796F" w:rsidRPr="004F0197" w:rsidRDefault="00E8796F" w:rsidP="00E8796F">
      <w:pPr>
        <w:numPr>
          <w:ilvl w:val="0"/>
          <w:numId w:val="1"/>
        </w:numPr>
        <w:autoSpaceDE/>
        <w:autoSpaceDN/>
        <w:adjustRightInd/>
        <w:spacing w:line="240" w:lineRule="auto"/>
        <w:ind w:right="-680"/>
        <w:contextualSpacing/>
        <w:jc w:val="left"/>
        <w:rPr>
          <w:rFonts w:cs="Arial"/>
          <w:b/>
          <w:bCs/>
          <w:sz w:val="20"/>
          <w:szCs w:val="20"/>
          <w:lang w:val="ru-RU"/>
        </w:rPr>
      </w:pPr>
      <w:r w:rsidRPr="004F0197">
        <w:rPr>
          <w:rFonts w:cs="Arial"/>
          <w:b/>
          <w:bCs/>
          <w:sz w:val="20"/>
          <w:szCs w:val="20"/>
          <w:lang w:val="ru-RU"/>
        </w:rPr>
        <w:t>ПРАВА И ОБЯЗАННОСТИ СТОРОН</w:t>
      </w:r>
    </w:p>
    <w:p w14:paraId="38F4643D" w14:textId="77777777" w:rsidR="00E8796F" w:rsidRPr="004F0197" w:rsidRDefault="00E8796F" w:rsidP="00E8796F">
      <w:pPr>
        <w:spacing w:line="240" w:lineRule="auto"/>
        <w:ind w:left="-377" w:right="-680"/>
        <w:contextualSpacing/>
        <w:rPr>
          <w:rFonts w:cs="Arial"/>
          <w:b/>
          <w:bCs/>
          <w:sz w:val="20"/>
          <w:szCs w:val="20"/>
          <w:lang w:val="ru-RU"/>
        </w:rPr>
      </w:pPr>
    </w:p>
    <w:p w14:paraId="12B65BD1" w14:textId="77777777" w:rsidR="00E8796F" w:rsidRPr="004F0197" w:rsidRDefault="00E8796F" w:rsidP="00E8796F">
      <w:pPr>
        <w:spacing w:line="240" w:lineRule="auto"/>
        <w:ind w:left="-737" w:right="-680"/>
        <w:contextualSpacing/>
        <w:rPr>
          <w:rFonts w:cs="Arial"/>
          <w:sz w:val="20"/>
          <w:szCs w:val="20"/>
          <w:lang w:val="ru-RU"/>
        </w:rPr>
      </w:pPr>
      <w:r w:rsidRPr="004F0197">
        <w:rPr>
          <w:rFonts w:cs="Arial"/>
          <w:sz w:val="20"/>
          <w:szCs w:val="20"/>
          <w:lang w:val="ru-RU"/>
        </w:rPr>
        <w:t>1. ТЕКО обязуется предоставить Лицензиату возможность активации (подключения) Сервиса «</w:t>
      </w:r>
      <w:proofErr w:type="spellStart"/>
      <w:r w:rsidRPr="004F0197">
        <w:rPr>
          <w:rFonts w:cs="Arial"/>
          <w:sz w:val="20"/>
          <w:szCs w:val="20"/>
          <w:lang w:val="ru-RU"/>
        </w:rPr>
        <w:t>Автоплатеж</w:t>
      </w:r>
      <w:proofErr w:type="spellEnd"/>
      <w:r w:rsidRPr="004F0197">
        <w:rPr>
          <w:rFonts w:cs="Arial"/>
          <w:sz w:val="20"/>
          <w:szCs w:val="20"/>
          <w:lang w:val="ru-RU"/>
        </w:rPr>
        <w:t>» для совершения Лицензиатом лицензионного вознаграждения в пользу ТЕКО, при наличии технической возможности.</w:t>
      </w:r>
    </w:p>
    <w:p w14:paraId="78ED2ABA" w14:textId="77777777" w:rsidR="00E8796F" w:rsidRPr="004F0197" w:rsidRDefault="00E8796F" w:rsidP="00E8796F">
      <w:pPr>
        <w:spacing w:line="240" w:lineRule="auto"/>
        <w:ind w:left="-737" w:right="-680"/>
        <w:contextualSpacing/>
        <w:rPr>
          <w:rFonts w:cs="Arial"/>
          <w:sz w:val="20"/>
          <w:szCs w:val="20"/>
          <w:lang w:val="ru-RU"/>
        </w:rPr>
      </w:pPr>
      <w:r w:rsidRPr="004F0197">
        <w:rPr>
          <w:rFonts w:cs="Arial"/>
          <w:sz w:val="20"/>
          <w:szCs w:val="20"/>
          <w:lang w:val="ru-RU"/>
        </w:rPr>
        <w:t xml:space="preserve">2. В случае утраты Лицензиатом </w:t>
      </w:r>
      <w:bookmarkStart w:id="0" w:name="_Hlk74824257"/>
      <w:r w:rsidRPr="004F0197">
        <w:rPr>
          <w:rFonts w:cs="Arial"/>
          <w:sz w:val="20"/>
          <w:szCs w:val="20"/>
          <w:lang w:val="ru-RU"/>
        </w:rPr>
        <w:t>Банковской карты</w:t>
      </w:r>
      <w:bookmarkEnd w:id="0"/>
      <w:r w:rsidRPr="004F0197">
        <w:rPr>
          <w:rFonts w:cs="Arial"/>
          <w:sz w:val="20"/>
          <w:szCs w:val="20"/>
          <w:lang w:val="ru-RU"/>
        </w:rPr>
        <w:t>, данные о которой сохранены в Личном кабинете, он обязан незамедлительно известить об этом ТЕКО в Личном кабинете. Полученное ТЕКО заявление от Лицензиата об утрате Банковской карты является основанием для приостановления для Лицензиата со стороны ТЕКО действия Сервиса «</w:t>
      </w:r>
      <w:proofErr w:type="spellStart"/>
      <w:r w:rsidRPr="004F0197">
        <w:rPr>
          <w:rFonts w:cs="Arial"/>
          <w:sz w:val="20"/>
          <w:szCs w:val="20"/>
          <w:lang w:val="ru-RU"/>
        </w:rPr>
        <w:t>Автоплатёж</w:t>
      </w:r>
      <w:proofErr w:type="spellEnd"/>
      <w:r w:rsidRPr="004F0197">
        <w:rPr>
          <w:rFonts w:cs="Arial"/>
          <w:sz w:val="20"/>
          <w:szCs w:val="20"/>
          <w:lang w:val="ru-RU"/>
        </w:rPr>
        <w:t>».</w:t>
      </w:r>
      <w:r w:rsidRPr="004F0197">
        <w:rPr>
          <w:rFonts w:eastAsia="Calibri" w:cs="Arial"/>
          <w:sz w:val="22"/>
          <w:szCs w:val="22"/>
          <w:lang w:val="ru-RU"/>
        </w:rPr>
        <w:t xml:space="preserve"> </w:t>
      </w:r>
      <w:r w:rsidRPr="004F0197">
        <w:rPr>
          <w:rFonts w:cs="Arial"/>
          <w:sz w:val="20"/>
          <w:szCs w:val="20"/>
          <w:lang w:val="ru-RU"/>
        </w:rPr>
        <w:t>Лицензиат самостоятельно несет ответственность за сохранность Банковской карты и пароля, полученного для пользования сервисом "</w:t>
      </w:r>
      <w:proofErr w:type="spellStart"/>
      <w:r w:rsidRPr="004F0197">
        <w:rPr>
          <w:rFonts w:cs="Arial"/>
          <w:sz w:val="20"/>
          <w:szCs w:val="20"/>
          <w:lang w:val="ru-RU"/>
        </w:rPr>
        <w:t>Автоплатеж</w:t>
      </w:r>
      <w:proofErr w:type="spellEnd"/>
      <w:r w:rsidRPr="004F0197">
        <w:rPr>
          <w:rFonts w:cs="Arial"/>
          <w:sz w:val="20"/>
          <w:szCs w:val="20"/>
          <w:lang w:val="ru-RU"/>
        </w:rPr>
        <w:t>".</w:t>
      </w:r>
    </w:p>
    <w:p w14:paraId="3D8D1E8D" w14:textId="5AFDD1CB" w:rsidR="00E8796F" w:rsidRPr="004F0197" w:rsidRDefault="00E8796F" w:rsidP="00E8796F">
      <w:pPr>
        <w:spacing w:line="240" w:lineRule="auto"/>
        <w:ind w:left="-737" w:right="-680"/>
        <w:contextualSpacing/>
        <w:rPr>
          <w:rFonts w:cs="Arial"/>
          <w:sz w:val="20"/>
          <w:szCs w:val="20"/>
          <w:lang w:val="ru-RU"/>
        </w:rPr>
      </w:pPr>
      <w:r w:rsidRPr="004F0197">
        <w:rPr>
          <w:rFonts w:cs="Arial"/>
          <w:sz w:val="20"/>
          <w:szCs w:val="20"/>
          <w:lang w:val="ru-RU"/>
        </w:rPr>
        <w:t>3. ТЕКО имеет право в одностороннем порядке вносить изменения в настоящее Соглашение в соответствии и в порядке, указанном в Договоре.</w:t>
      </w:r>
    </w:p>
    <w:p w14:paraId="69D9E029" w14:textId="77777777" w:rsidR="00E8796F" w:rsidRPr="004F0197" w:rsidRDefault="00E8796F" w:rsidP="00E8796F">
      <w:pPr>
        <w:spacing w:line="240" w:lineRule="auto"/>
        <w:ind w:left="-737" w:right="-680"/>
        <w:contextualSpacing/>
        <w:rPr>
          <w:rFonts w:cs="Arial"/>
          <w:sz w:val="20"/>
          <w:szCs w:val="20"/>
          <w:lang w:val="ru-RU"/>
        </w:rPr>
      </w:pPr>
      <w:r w:rsidRPr="004F0197">
        <w:rPr>
          <w:rFonts w:cs="Arial"/>
          <w:sz w:val="20"/>
          <w:szCs w:val="20"/>
          <w:lang w:val="ru-RU"/>
        </w:rPr>
        <w:t>4. ТЕКО вправе в одностороннем порядке прекратить действие настоящей Оферты, в соответствии и в порядке, указанном в Договоре.</w:t>
      </w:r>
    </w:p>
    <w:p w14:paraId="66797609" w14:textId="77777777" w:rsidR="00E8796F" w:rsidRPr="004F0197" w:rsidRDefault="00E8796F" w:rsidP="00E8796F">
      <w:pPr>
        <w:spacing w:line="240" w:lineRule="auto"/>
        <w:ind w:left="-737" w:right="-680"/>
        <w:contextualSpacing/>
        <w:rPr>
          <w:rFonts w:cs="Arial"/>
          <w:sz w:val="20"/>
          <w:szCs w:val="20"/>
          <w:lang w:val="ru-RU"/>
        </w:rPr>
      </w:pPr>
      <w:r w:rsidRPr="004F0197">
        <w:rPr>
          <w:rFonts w:cs="Arial"/>
          <w:sz w:val="20"/>
          <w:szCs w:val="20"/>
          <w:lang w:val="ru-RU"/>
        </w:rPr>
        <w:t>5.</w:t>
      </w:r>
      <w:r w:rsidRPr="004F0197">
        <w:rPr>
          <w:rFonts w:eastAsia="Calibri" w:cs="Arial"/>
          <w:sz w:val="22"/>
          <w:szCs w:val="22"/>
          <w:lang w:val="ru-RU"/>
        </w:rPr>
        <w:t xml:space="preserve"> </w:t>
      </w:r>
      <w:r w:rsidRPr="004F0197">
        <w:rPr>
          <w:rFonts w:cs="Arial"/>
          <w:sz w:val="20"/>
          <w:szCs w:val="20"/>
          <w:lang w:val="ru-RU"/>
        </w:rPr>
        <w:t>Пользование сервисом "</w:t>
      </w:r>
      <w:proofErr w:type="spellStart"/>
      <w:r w:rsidRPr="004F0197">
        <w:rPr>
          <w:rFonts w:cs="Arial"/>
          <w:sz w:val="20"/>
          <w:szCs w:val="20"/>
          <w:lang w:val="ru-RU"/>
        </w:rPr>
        <w:t>Автоплатеж</w:t>
      </w:r>
      <w:proofErr w:type="spellEnd"/>
      <w:r w:rsidRPr="004F0197">
        <w:rPr>
          <w:rFonts w:cs="Arial"/>
          <w:sz w:val="20"/>
          <w:szCs w:val="20"/>
          <w:lang w:val="ru-RU"/>
        </w:rPr>
        <w:t>" возможно с использованием незаблокированной Банковской карты при условии достаточности денежных средств на Банковской карте. В случае окончания срока действия Банковской карты пользование сервисом "</w:t>
      </w:r>
      <w:proofErr w:type="spellStart"/>
      <w:r w:rsidRPr="004F0197">
        <w:rPr>
          <w:rFonts w:cs="Arial"/>
          <w:sz w:val="20"/>
          <w:szCs w:val="20"/>
          <w:lang w:val="ru-RU"/>
        </w:rPr>
        <w:t>Автоплатеж</w:t>
      </w:r>
      <w:proofErr w:type="spellEnd"/>
      <w:r w:rsidRPr="004F0197">
        <w:rPr>
          <w:rFonts w:cs="Arial"/>
          <w:sz w:val="20"/>
          <w:szCs w:val="20"/>
          <w:lang w:val="ru-RU"/>
        </w:rPr>
        <w:t>" будет приостановлено до момента регистрации Лицензиатом новой Банковской карты.</w:t>
      </w:r>
    </w:p>
    <w:p w14:paraId="5CB21BBF" w14:textId="77777777" w:rsidR="00E8796F" w:rsidRPr="004F0197" w:rsidRDefault="00E8796F" w:rsidP="00E8796F">
      <w:pPr>
        <w:spacing w:line="240" w:lineRule="auto"/>
        <w:ind w:left="-737" w:right="-680"/>
        <w:contextualSpacing/>
        <w:rPr>
          <w:rFonts w:cs="Arial"/>
          <w:sz w:val="20"/>
          <w:szCs w:val="20"/>
          <w:lang w:val="ru-RU"/>
        </w:rPr>
      </w:pPr>
    </w:p>
    <w:p w14:paraId="37DF5E7B" w14:textId="77777777" w:rsidR="00E8796F" w:rsidRPr="004F0197" w:rsidRDefault="00E8796F" w:rsidP="00E8796F">
      <w:pPr>
        <w:numPr>
          <w:ilvl w:val="0"/>
          <w:numId w:val="1"/>
        </w:numPr>
        <w:autoSpaceDE/>
        <w:autoSpaceDN/>
        <w:adjustRightInd/>
        <w:spacing w:line="240" w:lineRule="auto"/>
        <w:ind w:right="-680"/>
        <w:contextualSpacing/>
        <w:jc w:val="left"/>
        <w:rPr>
          <w:rFonts w:cs="Arial"/>
          <w:b/>
          <w:bCs/>
          <w:sz w:val="20"/>
          <w:szCs w:val="20"/>
          <w:lang w:val="ru-RU"/>
        </w:rPr>
      </w:pPr>
      <w:r w:rsidRPr="004F0197">
        <w:rPr>
          <w:rFonts w:cs="Arial"/>
          <w:b/>
          <w:bCs/>
          <w:sz w:val="20"/>
          <w:szCs w:val="20"/>
          <w:lang w:val="ru-RU"/>
        </w:rPr>
        <w:t>ОТВЕТСТВЕННОСТЬ СТОРОН</w:t>
      </w:r>
    </w:p>
    <w:p w14:paraId="0F386456" w14:textId="77777777" w:rsidR="00E8796F" w:rsidRPr="004F0197" w:rsidRDefault="00E8796F" w:rsidP="00E8796F">
      <w:pPr>
        <w:spacing w:line="240" w:lineRule="auto"/>
        <w:ind w:left="-377" w:right="-680"/>
        <w:contextualSpacing/>
        <w:rPr>
          <w:rFonts w:cs="Arial"/>
          <w:b/>
          <w:bCs/>
          <w:sz w:val="20"/>
          <w:szCs w:val="20"/>
          <w:lang w:val="ru-RU"/>
        </w:rPr>
      </w:pPr>
    </w:p>
    <w:p w14:paraId="016DEDF2" w14:textId="77777777" w:rsidR="00E8796F" w:rsidRPr="004F0197" w:rsidRDefault="00E8796F" w:rsidP="00E8796F">
      <w:pPr>
        <w:spacing w:line="240" w:lineRule="auto"/>
        <w:ind w:left="-737" w:right="-680"/>
        <w:contextualSpacing/>
        <w:rPr>
          <w:rFonts w:cs="Arial"/>
          <w:sz w:val="20"/>
          <w:szCs w:val="20"/>
          <w:lang w:val="ru-RU"/>
        </w:rPr>
      </w:pPr>
      <w:r w:rsidRPr="004F0197">
        <w:rPr>
          <w:rFonts w:cs="Arial"/>
          <w:sz w:val="20"/>
          <w:szCs w:val="20"/>
          <w:lang w:val="ru-RU"/>
        </w:rPr>
        <w:t>1. Ответственность ТЕКО перед Лицензиатом по настоящему Соглашению ограничивается суммой денежных средств, зачисленных с использованием Сервиса «</w:t>
      </w:r>
      <w:proofErr w:type="spellStart"/>
      <w:r w:rsidRPr="004F0197">
        <w:rPr>
          <w:rFonts w:cs="Arial"/>
          <w:sz w:val="20"/>
          <w:szCs w:val="20"/>
          <w:lang w:val="ru-RU"/>
        </w:rPr>
        <w:t>Автоплатеж</w:t>
      </w:r>
      <w:proofErr w:type="spellEnd"/>
      <w:r w:rsidRPr="004F0197">
        <w:rPr>
          <w:rFonts w:cs="Arial"/>
          <w:sz w:val="20"/>
          <w:szCs w:val="20"/>
          <w:lang w:val="ru-RU"/>
        </w:rPr>
        <w:t>» в пользу ТЕКО для оплаты лицензионного вознаграждения.</w:t>
      </w:r>
    </w:p>
    <w:p w14:paraId="714E00F4" w14:textId="77777777" w:rsidR="00E8796F" w:rsidRPr="004F0197" w:rsidRDefault="00E8796F" w:rsidP="00E8796F">
      <w:pPr>
        <w:spacing w:line="240" w:lineRule="auto"/>
        <w:ind w:left="-737" w:right="-680"/>
        <w:contextualSpacing/>
        <w:rPr>
          <w:rFonts w:eastAsia="Calibri" w:cs="Arial"/>
          <w:sz w:val="22"/>
          <w:szCs w:val="22"/>
          <w:lang w:val="ru-RU"/>
        </w:rPr>
      </w:pPr>
      <w:r w:rsidRPr="004F0197">
        <w:rPr>
          <w:rFonts w:cs="Arial"/>
          <w:sz w:val="20"/>
          <w:szCs w:val="20"/>
          <w:lang w:val="ru-RU"/>
        </w:rPr>
        <w:t>2. Лицензиат даёт право ТЕКО в любое время производить перевод денежных средств в пользу ТЕКО со своей банковской карты. ТЕКО не несёт ответственности, если после списания средств с карты Держателя Сервисом «</w:t>
      </w:r>
      <w:proofErr w:type="spellStart"/>
      <w:r w:rsidRPr="004F0197">
        <w:rPr>
          <w:rFonts w:cs="Arial"/>
          <w:sz w:val="20"/>
          <w:szCs w:val="20"/>
          <w:lang w:val="ru-RU"/>
        </w:rPr>
        <w:t>Автоплатёж</w:t>
      </w:r>
      <w:proofErr w:type="spellEnd"/>
      <w:r w:rsidRPr="004F0197">
        <w:rPr>
          <w:rFonts w:cs="Arial"/>
          <w:sz w:val="20"/>
          <w:szCs w:val="20"/>
          <w:lang w:val="ru-RU"/>
        </w:rPr>
        <w:t>» на карте не осталось достаточной суммы для других списаний, не связанных с услугами ТЕКО. Лицензиат обязан следить за этим самостоятельно.</w:t>
      </w:r>
    </w:p>
    <w:p w14:paraId="6C8D482E" w14:textId="77777777" w:rsidR="00175E65" w:rsidRDefault="00175E65"/>
    <w:sectPr w:rsidR="00175E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197ED3"/>
    <w:multiLevelType w:val="hybridMultilevel"/>
    <w:tmpl w:val="F3D2778C"/>
    <w:lvl w:ilvl="0" w:tplc="26AABF14">
      <w:start w:val="1"/>
      <w:numFmt w:val="decimal"/>
      <w:lvlText w:val="%1."/>
      <w:lvlJc w:val="left"/>
      <w:pPr>
        <w:ind w:left="-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3" w:hanging="360"/>
      </w:pPr>
    </w:lvl>
    <w:lvl w:ilvl="2" w:tplc="0419001B" w:tentative="1">
      <w:start w:val="1"/>
      <w:numFmt w:val="lowerRoman"/>
      <w:lvlText w:val="%3."/>
      <w:lvlJc w:val="right"/>
      <w:pPr>
        <w:ind w:left="1063" w:hanging="180"/>
      </w:pPr>
    </w:lvl>
    <w:lvl w:ilvl="3" w:tplc="0419000F" w:tentative="1">
      <w:start w:val="1"/>
      <w:numFmt w:val="decimal"/>
      <w:lvlText w:val="%4."/>
      <w:lvlJc w:val="left"/>
      <w:pPr>
        <w:ind w:left="1783" w:hanging="360"/>
      </w:pPr>
    </w:lvl>
    <w:lvl w:ilvl="4" w:tplc="04190019" w:tentative="1">
      <w:start w:val="1"/>
      <w:numFmt w:val="lowerLetter"/>
      <w:lvlText w:val="%5."/>
      <w:lvlJc w:val="left"/>
      <w:pPr>
        <w:ind w:left="2503" w:hanging="360"/>
      </w:pPr>
    </w:lvl>
    <w:lvl w:ilvl="5" w:tplc="0419001B" w:tentative="1">
      <w:start w:val="1"/>
      <w:numFmt w:val="lowerRoman"/>
      <w:lvlText w:val="%6."/>
      <w:lvlJc w:val="right"/>
      <w:pPr>
        <w:ind w:left="3223" w:hanging="180"/>
      </w:pPr>
    </w:lvl>
    <w:lvl w:ilvl="6" w:tplc="0419000F" w:tentative="1">
      <w:start w:val="1"/>
      <w:numFmt w:val="decimal"/>
      <w:lvlText w:val="%7."/>
      <w:lvlJc w:val="left"/>
      <w:pPr>
        <w:ind w:left="3943" w:hanging="360"/>
      </w:pPr>
    </w:lvl>
    <w:lvl w:ilvl="7" w:tplc="04190019" w:tentative="1">
      <w:start w:val="1"/>
      <w:numFmt w:val="lowerLetter"/>
      <w:lvlText w:val="%8."/>
      <w:lvlJc w:val="left"/>
      <w:pPr>
        <w:ind w:left="4663" w:hanging="360"/>
      </w:pPr>
    </w:lvl>
    <w:lvl w:ilvl="8" w:tplc="0419001B" w:tentative="1">
      <w:start w:val="1"/>
      <w:numFmt w:val="lowerRoman"/>
      <w:lvlText w:val="%9."/>
      <w:lvlJc w:val="right"/>
      <w:pPr>
        <w:ind w:left="5383" w:hanging="180"/>
      </w:pPr>
    </w:lvl>
  </w:abstractNum>
  <w:num w:numId="1" w16cid:durableId="1004287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E65"/>
    <w:rsid w:val="00175E65"/>
    <w:rsid w:val="00E8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317A7E3"/>
  <w15:chartTrackingRefBased/>
  <w15:docId w15:val="{AF18A7D1-E648-354B-9265-8AB765B9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175E65"/>
    <w:pPr>
      <w:autoSpaceDE w:val="0"/>
      <w:autoSpaceDN w:val="0"/>
      <w:adjustRightInd w:val="0"/>
      <w:spacing w:line="264" w:lineRule="auto"/>
      <w:jc w:val="both"/>
    </w:pPr>
    <w:rPr>
      <w:rFonts w:ascii="Arial" w:eastAsia="Arial Unicode MS" w:hAnsi="Arial" w:cs="Times New Roman"/>
      <w:kern w:val="0"/>
      <w:sz w:val="21"/>
      <w:szCs w:val="21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ko.io/ru/legal?doc=joint-license-agreement" TargetMode="External"/><Relationship Id="rId5" Type="http://schemas.openxmlformats.org/officeDocument/2006/relationships/hyperlink" Target="https://teko.io/ru/legal?doc=joint-license-agree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1239</Words>
  <Characters>7067</Characters>
  <Application>Microsoft Office Word</Application>
  <DocSecurity>0</DocSecurity>
  <Lines>58</Lines>
  <Paragraphs>16</Paragraphs>
  <ScaleCrop>false</ScaleCrop>
  <Company/>
  <LinksUpToDate>false</LinksUpToDate>
  <CharactersWithSpaces>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2024-01-17T13:22:00Z</dcterms:created>
  <dcterms:modified xsi:type="dcterms:W3CDTF">2024-01-17T14:42:00Z</dcterms:modified>
</cp:coreProperties>
</file>